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Rule="auto"/>
        <w:jc w:val="center"/>
        <w:rPr>
          <w:rFonts w:ascii="Arial Narrow" w:cs="Arial Narrow" w:eastAsia="Arial Narrow" w:hAnsi="Arial Narrow"/>
          <w:b w:val="1"/>
          <w:color w:val="404040"/>
          <w:sz w:val="28"/>
          <w:szCs w:val="28"/>
        </w:rPr>
      </w:pPr>
      <w:r w:rsidDel="00000000" w:rsidR="00000000" w:rsidRPr="00000000">
        <w:rPr>
          <w:rFonts w:ascii="Arial Narrow" w:cs="Arial Narrow" w:eastAsia="Arial Narrow" w:hAnsi="Arial Narrow"/>
          <w:b w:val="1"/>
          <w:color w:val="404040"/>
          <w:sz w:val="28"/>
          <w:szCs w:val="28"/>
          <w:rtl w:val="0"/>
        </w:rPr>
        <w:t xml:space="preserve">Los desafíos de las pymes latinoamericanas en la nueva economía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283.46456692913375" w:right="-220.8661417322827" w:firstLine="0"/>
        <w:jc w:val="both"/>
        <w:rPr>
          <w:rFonts w:ascii="Arial Narrow" w:cs="Arial Narrow" w:eastAsia="Arial Narrow" w:hAnsi="Arial Narrow"/>
          <w:i w:val="1"/>
          <w:color w:val="808080"/>
        </w:rPr>
      </w:pPr>
      <w:r w:rsidDel="00000000" w:rsidR="00000000" w:rsidRPr="00000000">
        <w:rPr>
          <w:rFonts w:ascii="Arial Narrow" w:cs="Arial Narrow" w:eastAsia="Arial Narrow" w:hAnsi="Arial Narrow"/>
          <w:i w:val="1"/>
          <w:color w:val="808080"/>
          <w:rtl w:val="0"/>
        </w:rPr>
        <w:t xml:space="preserve">CAF ha destinado más de USD 2.000 millones este año para apoyar a las pymes de la región y ha definido una estrategia para impulsar la innovación, integración productiva e internacionalización de estas empresas con el fin de contribuir al incremento de la productividad y a la reactivación económica. Estos temas se abordarán en la Conferencia CAF La nueva economía y el futuro de las pymes que se realizará el 5 y 6 de noviembre de manera virtual.</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3.46456692913375" w:right="-220.8661417322827"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Ciudad de México, 30 de octubre de 2020). Antes de la pandemia las micro, pequeñas y medianas empresas (mipymes) representaban el 99% del total de compañías, aportaban cerca del 60% del empleo en América Latina, pero sólo una cuarta parte del valor de la producción total de la región; las mipymes exportadoras representaban solo el 5% del valor de las ventas externas totales, en comparación al 40% en los países desarrollados. Al mismo tiempo, más del 30% reportaban restricciones para acceder a financiamiento.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3.46456692913375" w:right="-220.8661417322827"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3.46456692913375" w:right="-220.8661417322827"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La crisis derivada de la pandemia del Covid-19 afectó fuertemente a más del 60% de las micro y pequeñas empresas y cerca de un 51% a las medianas, según la encuesta realizada en 121 países por el Centro de Comercio Internacional (ITC por sus siglas en inglés). Por su parte, la Cepal estima que los efectos de la pandemia representarán el cierre de 2,7 millones de empresas en América Latina, la mayoría mipymes.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3.46456692913375" w:right="-220.8661417322827"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3.46456692913375" w:right="-220.8661417322827"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Pero la pandemia también trajo consigo la aceleración de la digitalización y está profundizando cambios en otras tendencias globales, como la organización de las cadenas globales de valor y los modelos de negocio típico, que empezaban a aparecer ya antes de la crisis. Esta situación impone grandes retos adicionales a las pymes de América Latina, como es el caso del capital humano requerido para las nuevas tecnologías en una región con grandes brechas educativas y donde la informalidad y la baja productividad se transmite, como un virus, de empresa en empresa en las pocas sofisticadas cadenas de valor.</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3.46456692913375" w:right="-220.8661417322827"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3.46456692913375" w:right="-220.8661417322827" w:firstLine="0"/>
        <w:jc w:val="both"/>
        <w:rPr>
          <w:rFonts w:ascii="Arial Narrow" w:cs="Arial Narrow" w:eastAsia="Arial Narrow" w:hAnsi="Arial Narrow"/>
          <w:b w:val="1"/>
          <w:color w:val="222222"/>
        </w:rPr>
      </w:pPr>
      <w:r w:rsidDel="00000000" w:rsidR="00000000" w:rsidRPr="00000000">
        <w:rPr>
          <w:rFonts w:ascii="Arial Narrow" w:cs="Arial Narrow" w:eastAsia="Arial Narrow" w:hAnsi="Arial Narrow"/>
          <w:color w:val="222222"/>
          <w:rtl w:val="0"/>
        </w:rPr>
        <w:t xml:space="preserve">“La innovación empresarial, la integración productiva efectiva, la internacionalización y el adecuado y suficiente financiamiento son claves para impulsar la reactivación y elevar la productividad de las pymes. Por ello, CAF -banco de desarrollo de América Latina-, convierte a las pymes en el eje de la nueva estrategia para apoyar la recuperación de las economías de sus países miembros”, aseguró </w:t>
      </w:r>
      <w:r w:rsidDel="00000000" w:rsidR="00000000" w:rsidRPr="00000000">
        <w:rPr>
          <w:rFonts w:ascii="Arial Narrow" w:cs="Arial Narrow" w:eastAsia="Arial Narrow" w:hAnsi="Arial Narrow"/>
          <w:b w:val="1"/>
          <w:color w:val="222222"/>
          <w:rtl w:val="0"/>
        </w:rPr>
        <w:t xml:space="preserve">Jorge Arbache, vicepresidente de Sector Privado de CAF.</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3.46456692913375" w:right="-220.8661417322827"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3.46456692913375" w:right="-220.8661417322827"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La nueva economía y el futuro de las pymes es el tema central de la Conferencia CAF, que se realizará de manera virtual el próximo 5 y 6 de noviembre con las siguientes temáticas: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283.46456692913375" w:right="-220.8661417322827" w:firstLine="0"/>
        <w:jc w:val="both"/>
        <w:rPr>
          <w:rFonts w:ascii="Arial Narrow" w:cs="Arial Narrow" w:eastAsia="Arial Narrow" w:hAnsi="Arial Narrow"/>
          <w:color w:val="222222"/>
          <w:u w:val="none"/>
        </w:rPr>
      </w:pPr>
      <w:r w:rsidDel="00000000" w:rsidR="00000000" w:rsidRPr="00000000">
        <w:rPr>
          <w:rFonts w:ascii="Arial Narrow" w:cs="Arial Narrow" w:eastAsia="Arial Narrow" w:hAnsi="Arial Narrow"/>
          <w:color w:val="222222"/>
          <w:rtl w:val="0"/>
        </w:rPr>
        <w:t xml:space="preserve">Crisis, reactivación y salto a una nueva economía. Impacto en las pymes latinoamericanas.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283.46456692913375" w:right="-220.8661417322827" w:firstLine="0"/>
        <w:jc w:val="both"/>
        <w:rPr>
          <w:rFonts w:ascii="Arial Narrow" w:cs="Arial Narrow" w:eastAsia="Arial Narrow" w:hAnsi="Arial Narrow"/>
          <w:color w:val="222222"/>
          <w:u w:val="none"/>
        </w:rPr>
      </w:pPr>
      <w:r w:rsidDel="00000000" w:rsidR="00000000" w:rsidRPr="00000000">
        <w:rPr>
          <w:rFonts w:ascii="Arial Narrow" w:cs="Arial Narrow" w:eastAsia="Arial Narrow" w:hAnsi="Arial Narrow"/>
          <w:color w:val="222222"/>
          <w:rtl w:val="0"/>
        </w:rPr>
        <w:t xml:space="preserve">Tendencias en las cadenas globales de valor. Desafíos y oportunidades para las pymes de la región.</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283.46456692913375" w:right="-220.8661417322827" w:firstLine="0"/>
        <w:jc w:val="both"/>
        <w:rPr>
          <w:rFonts w:ascii="Arial Narrow" w:cs="Arial Narrow" w:eastAsia="Arial Narrow" w:hAnsi="Arial Narrow"/>
          <w:color w:val="222222"/>
          <w:u w:val="none"/>
        </w:rPr>
      </w:pPr>
      <w:r w:rsidDel="00000000" w:rsidR="00000000" w:rsidRPr="00000000">
        <w:rPr>
          <w:rFonts w:ascii="Arial Narrow" w:cs="Arial Narrow" w:eastAsia="Arial Narrow" w:hAnsi="Arial Narrow"/>
          <w:color w:val="222222"/>
          <w:rtl w:val="0"/>
        </w:rPr>
        <w:t xml:space="preserve">Acelerando la transformación digital para las pymes.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283.46456692913375" w:right="-220.8661417322827" w:firstLine="0"/>
        <w:jc w:val="both"/>
        <w:rPr>
          <w:rFonts w:ascii="Arial Narrow" w:cs="Arial Narrow" w:eastAsia="Arial Narrow" w:hAnsi="Arial Narrow"/>
          <w:color w:val="222222"/>
          <w:u w:val="none"/>
        </w:rPr>
      </w:pPr>
      <w:r w:rsidDel="00000000" w:rsidR="00000000" w:rsidRPr="00000000">
        <w:rPr>
          <w:rFonts w:ascii="Arial Narrow" w:cs="Arial Narrow" w:eastAsia="Arial Narrow" w:hAnsi="Arial Narrow"/>
          <w:color w:val="222222"/>
          <w:rtl w:val="0"/>
        </w:rPr>
        <w:t xml:space="preserve">Pymes Latinoamericanas para la nueva economía. Casos de éxito.</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283.46456692913375" w:right="-220.8661417322827" w:firstLine="0"/>
        <w:jc w:val="both"/>
        <w:rPr>
          <w:rFonts w:ascii="Arial Narrow" w:cs="Arial Narrow" w:eastAsia="Arial Narrow" w:hAnsi="Arial Narrow"/>
          <w:color w:val="222222"/>
          <w:u w:val="none"/>
        </w:rPr>
      </w:pPr>
      <w:r w:rsidDel="00000000" w:rsidR="00000000" w:rsidRPr="00000000">
        <w:rPr>
          <w:rFonts w:ascii="Arial Narrow" w:cs="Arial Narrow" w:eastAsia="Arial Narrow" w:hAnsi="Arial Narrow"/>
          <w:color w:val="222222"/>
          <w:rtl w:val="0"/>
        </w:rPr>
        <w:t xml:space="preserve">Políticas públicas para impulsar las pymes hacia la nueva economía.</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3.46456692913375" w:right="-220.8661417322827"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3.46456692913375" w:right="-220.8661417322827"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El análisis y los debates en torno a estos temas ofrecerán insumos concretos para ayudar a definir estrategias que apunten decididamente a generar alternativas de desarrollo para las mipymes de la región, en el marco de los desafíos que imponen los actuales retos tecnológicos y el entorno económico y social que se ha configurado y consolidado con la crisis de la pandemia, pero que nos trae también oportunidades en una nueva economía en construcción.</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3.46456692913375" w:right="-220.8661417322827" w:firstLine="0"/>
        <w:jc w:val="both"/>
        <w:rPr>
          <w:rFonts w:ascii="Arial Narrow" w:cs="Arial Narrow" w:eastAsia="Arial Narrow" w:hAnsi="Arial Narrow"/>
          <w:color w:val="222222"/>
        </w:rPr>
      </w:pPr>
      <w:r w:rsidDel="00000000" w:rsidR="00000000" w:rsidRPr="00000000">
        <w:rPr>
          <w:rFonts w:ascii="Arial Narrow" w:cs="Arial Narrow" w:eastAsia="Arial Narrow" w:hAnsi="Arial Narrow"/>
          <w:color w:val="222222"/>
          <w:rtl w:val="0"/>
        </w:rPr>
        <w:t xml:space="preserve">Conoce el programa, los panelistas y </w:t>
      </w:r>
      <w:hyperlink r:id="rId6">
        <w:r w:rsidDel="00000000" w:rsidR="00000000" w:rsidRPr="00000000">
          <w:rPr>
            <w:rFonts w:ascii="Arial Narrow" w:cs="Arial Narrow" w:eastAsia="Arial Narrow" w:hAnsi="Arial Narrow"/>
            <w:color w:val="1155cc"/>
            <w:u w:val="single"/>
            <w:rtl w:val="0"/>
          </w:rPr>
          <w:t xml:space="preserve">regístrate en CAF.com</w:t>
        </w:r>
      </w:hyperlink>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283.46456692913375" w:right="-220.8661417322827" w:firstLine="0"/>
        <w:jc w:val="both"/>
        <w:rPr>
          <w:rFonts w:ascii="Arial Narrow" w:cs="Arial Narrow" w:eastAsia="Arial Narrow" w:hAnsi="Arial Narrow"/>
          <w:color w:val="222222"/>
        </w:rPr>
      </w:pPr>
      <w:r w:rsidDel="00000000" w:rsidR="00000000" w:rsidRPr="00000000">
        <w:rPr>
          <w:rtl w:val="0"/>
        </w:rPr>
      </w:r>
    </w:p>
    <w:p w:rsidR="00000000" w:rsidDel="00000000" w:rsidP="00000000" w:rsidRDefault="00000000" w:rsidRPr="00000000" w14:paraId="00000015">
      <w:pPr>
        <w:ind w:left="-283.46456692913375" w:right="-220.8661417322827"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14 bancos privados, es una de las principales fuentes de financiamiento multilateral y un importante generador de conocimiento para la región. Más información en </w:t>
      </w:r>
      <w:hyperlink r:id="rId7">
        <w:r w:rsidDel="00000000" w:rsidR="00000000" w:rsidRPr="00000000">
          <w:rPr>
            <w:rFonts w:ascii="Arial Narrow" w:cs="Arial Narrow" w:eastAsia="Arial Narrow" w:hAnsi="Arial Narrow"/>
            <w:sz w:val="18"/>
            <w:szCs w:val="18"/>
            <w:rtl w:val="0"/>
          </w:rPr>
          <w:t xml:space="preserve">www.caf.com</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
                <a:graphic>
                  <a:graphicData uri="http://schemas.microsoft.com/office/word/2010/wordprocessingShape">
                    <wps:wsp>
                      <wps:cNvCnPr/>
                      <wps:spPr>
                        <a:xfrm>
                          <a:off x="2526600" y="3770475"/>
                          <a:ext cx="5638800" cy="19050"/>
                        </a:xfrm>
                        <a:prstGeom prst="straightConnector1">
                          <a:avLst/>
                        </a:prstGeom>
                        <a:noFill/>
                        <a:ln cap="rnd" cmpd="sng" w="9525">
                          <a:solidFill>
                            <a:srgbClr val="7F7F7F"/>
                          </a:solidFill>
                          <a:prstDash val="dot"/>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88900</wp:posOffset>
                </wp:positionV>
                <wp:extent cx="5648325" cy="2857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648325" cy="28575"/>
                        </a:xfrm>
                        <a:prstGeom prst="rect"/>
                        <a:ln/>
                      </pic:spPr>
                    </pic:pic>
                  </a:graphicData>
                </a:graphic>
              </wp:anchor>
            </w:drawing>
          </mc:Fallback>
        </mc:AlternateContent>
      </w:r>
    </w:p>
    <w:p w:rsidR="00000000" w:rsidDel="00000000" w:rsidP="00000000" w:rsidRDefault="00000000" w:rsidRPr="00000000" w14:paraId="00000016">
      <w:pPr>
        <w:ind w:left="-283.46456692913375" w:right="-220.8661417322827" w:firstLine="0"/>
        <w:jc w:val="both"/>
        <w:rPr/>
      </w:pPr>
      <w:r w:rsidDel="00000000" w:rsidR="00000000" w:rsidRPr="00000000">
        <w:rPr>
          <w:rFonts w:ascii="Arial Narrow" w:cs="Arial Narrow" w:eastAsia="Arial Narrow" w:hAnsi="Arial Narrow"/>
          <w:sz w:val="18"/>
          <w:szCs w:val="18"/>
          <w:rtl w:val="0"/>
        </w:rPr>
        <w:t xml:space="preserve">CAF, Dirección de Comunicación Estratégica, </w:t>
      </w:r>
      <w:hyperlink r:id="rId9">
        <w:r w:rsidDel="00000000" w:rsidR="00000000" w:rsidRPr="00000000">
          <w:rPr>
            <w:rFonts w:ascii="Arial Narrow" w:cs="Arial Narrow" w:eastAsia="Arial Narrow" w:hAnsi="Arial Narrow"/>
            <w:color w:val="0000ff"/>
            <w:sz w:val="18"/>
            <w:szCs w:val="18"/>
            <w:u w:val="single"/>
            <w:rtl w:val="0"/>
          </w:rPr>
          <w:t xml:space="preserve">prensa@caf.com</w:t>
        </w:r>
      </w:hyperlink>
      <w:r w:rsidDel="00000000" w:rsidR="00000000" w:rsidRPr="00000000">
        <w:rPr>
          <w:rFonts w:ascii="Arial Narrow" w:cs="Arial Narrow" w:eastAsia="Arial Narrow" w:hAnsi="Arial Narrow"/>
          <w:sz w:val="18"/>
          <w:szCs w:val="18"/>
          <w:rtl w:val="0"/>
        </w:rPr>
        <w:t xml:space="preserve">                 Encuéntrenos en: </w:t>
      </w:r>
      <w:r w:rsidDel="00000000" w:rsidR="00000000" w:rsidRPr="00000000">
        <w:rPr>
          <w:rFonts w:ascii="Arial Narrow" w:cs="Arial Narrow" w:eastAsia="Arial Narrow" w:hAnsi="Arial Narrow"/>
          <w:color w:val="000000"/>
          <w:sz w:val="18"/>
          <w:szCs w:val="18"/>
          <w:rtl w:val="0"/>
        </w:rPr>
        <w:t xml:space="preserve">Facebook: </w:t>
      </w:r>
      <w:hyperlink r:id="rId10">
        <w:r w:rsidDel="00000000" w:rsidR="00000000" w:rsidRPr="00000000">
          <w:rPr>
            <w:rFonts w:ascii="Arial Narrow" w:cs="Arial Narrow" w:eastAsia="Arial Narrow" w:hAnsi="Arial Narrow"/>
            <w:color w:val="0000ff"/>
            <w:sz w:val="18"/>
            <w:szCs w:val="18"/>
            <w:u w:val="single"/>
            <w:rtl w:val="0"/>
          </w:rPr>
          <w:t xml:space="preserve">CAF.America.Latina</w:t>
        </w:r>
      </w:hyperlink>
      <w:r w:rsidDel="00000000" w:rsidR="00000000" w:rsidRPr="00000000">
        <w:rPr>
          <w:rFonts w:ascii="Arial Narrow" w:cs="Arial Narrow" w:eastAsia="Arial Narrow" w:hAnsi="Arial Narrow"/>
          <w:color w:val="000000"/>
          <w:sz w:val="18"/>
          <w:szCs w:val="18"/>
          <w:rtl w:val="0"/>
        </w:rPr>
        <w:t xml:space="preserve"> / </w:t>
      </w:r>
      <w:r w:rsidDel="00000000" w:rsidR="00000000" w:rsidRPr="00000000">
        <w:rPr>
          <w:rFonts w:ascii="Arial Narrow" w:cs="Arial Narrow" w:eastAsia="Arial Narrow" w:hAnsi="Arial Narrow"/>
          <w:sz w:val="18"/>
          <w:szCs w:val="18"/>
          <w:rtl w:val="0"/>
        </w:rPr>
        <w:t xml:space="preserve">Twitter: @AgendaCAF</w:t>
      </w:r>
      <w:r w:rsidDel="00000000" w:rsidR="00000000" w:rsidRPr="00000000">
        <w:rPr>
          <w:rtl w:val="0"/>
        </w:rPr>
      </w:r>
    </w:p>
    <w:sectPr>
      <w:headerReference r:id="rId11" w:type="default"/>
      <w:pgSz w:h="15840" w:w="12240" w:orient="portrait"/>
      <w:pgMar w:bottom="1417" w:top="1417" w:left="1275.5905511811022" w:right="1327.204724409448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1753553</wp:posOffset>
          </wp:positionH>
          <wp:positionV relativeFrom="paragraph">
            <wp:posOffset>-304799</wp:posOffset>
          </wp:positionV>
          <wp:extent cx="2105025" cy="657225"/>
          <wp:effectExtent b="0" l="0" r="0" t="0"/>
          <wp:wrapTopAndBottom distB="0" distT="0"/>
          <wp:docPr descr="Logo_CAF50_Aniversario" id="2" name="image1.png"/>
          <a:graphic>
            <a:graphicData uri="http://schemas.openxmlformats.org/drawingml/2006/picture">
              <pic:pic>
                <pic:nvPicPr>
                  <pic:cNvPr descr="Logo_CAF50_Aniversario" id="0" name="image1.png"/>
                  <pic:cNvPicPr preferRelativeResize="0"/>
                </pic:nvPicPr>
                <pic:blipFill>
                  <a:blip r:embed="rId1"/>
                  <a:srcRect b="0" l="0" r="0" t="0"/>
                  <a:stretch>
                    <a:fillRect/>
                  </a:stretch>
                </pic:blipFill>
                <pic:spPr>
                  <a:xfrm>
                    <a:off x="0" y="0"/>
                    <a:ext cx="2105025" cy="6572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facebook.com/CAF.America.Latina" TargetMode="External"/><Relationship Id="rId9" Type="http://schemas.openxmlformats.org/officeDocument/2006/relationships/hyperlink" Target="mailto:prensa@caf.com" TargetMode="External"/><Relationship Id="rId5" Type="http://schemas.openxmlformats.org/officeDocument/2006/relationships/styles" Target="styles.xml"/><Relationship Id="rId6" Type="http://schemas.openxmlformats.org/officeDocument/2006/relationships/hyperlink" Target="https://www.caf.com/es/actualidad/eventos/2020/11/conferencia-caf-la-nueva-economia-y-el-futuro-de-las-pymes-latinoamericanas/" TargetMode="External"/><Relationship Id="rId7" Type="http://schemas.openxmlformats.org/officeDocument/2006/relationships/hyperlink" Target="http://www.caf.com/"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